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5AD" w:rsidRPr="00FB55AD" w:rsidRDefault="00FB55AD" w:rsidP="00FB55AD">
      <w:pPr>
        <w:rPr>
          <w:b/>
          <w:bCs/>
        </w:rPr>
      </w:pPr>
      <w:r w:rsidRPr="00FB55AD">
        <w:rPr>
          <w:b/>
          <w:bCs/>
        </w:rPr>
        <w:t>Цель исследования</w:t>
      </w:r>
    </w:p>
    <w:p w:rsidR="00FB55AD" w:rsidRPr="00FB55AD" w:rsidRDefault="00FB55AD" w:rsidP="00FB55AD">
      <w:pPr>
        <w:rPr>
          <w:color w:val="000000"/>
        </w:rPr>
      </w:pPr>
      <w:r w:rsidRPr="00FB55AD">
        <w:rPr>
          <w:color w:val="000000"/>
        </w:rPr>
        <w:t>Эффективность многокомпонентных программ по изменению образа жизни для контроля прогрессии атеросклероза и избыточного веса освещается в ограниченном числе исследований. Мы изучили эффективность</w:t>
      </w:r>
      <w:r>
        <w:rPr>
          <w:color w:val="000000"/>
        </w:rPr>
        <w:t xml:space="preserve"> </w:t>
      </w:r>
      <w:r w:rsidRPr="00FB55AD">
        <w:rPr>
          <w:color w:val="000000"/>
        </w:rPr>
        <w:t>программы коррекции образа жизни в сочетании с КТ-сканированием всего организма для контроля прогрессии кальциноза коронарных артерий (ККА) и накопления жировой ткани эпикарда и грудной клетки.</w:t>
      </w:r>
    </w:p>
    <w:p w:rsidR="00FB55AD" w:rsidRPr="00FB55AD" w:rsidRDefault="00FB55AD" w:rsidP="00FB55AD">
      <w:pPr>
        <w:rPr>
          <w:b/>
          <w:bCs/>
        </w:rPr>
      </w:pPr>
      <w:r w:rsidRPr="00FB55AD">
        <w:rPr>
          <w:b/>
          <w:bCs/>
        </w:rPr>
        <w:t>Материалы и методы</w:t>
      </w:r>
    </w:p>
    <w:p w:rsidR="00FB55AD" w:rsidRPr="00FB55AD" w:rsidRDefault="00FB55AD" w:rsidP="00FB55AD">
      <w:pPr>
        <w:rPr>
          <w:color w:val="000000"/>
        </w:rPr>
      </w:pPr>
      <w:r w:rsidRPr="00FB55AD">
        <w:rPr>
          <w:color w:val="000000"/>
        </w:rPr>
        <w:t>Исследование включило 73 человека, рандомизированных для участия в программе коррекции образа жизни RENEW [TM] и для формирования контрольной группы. Программа RENEW [TM] включала в себя модули по</w:t>
      </w:r>
      <w:r>
        <w:rPr>
          <w:color w:val="000000"/>
        </w:rPr>
        <w:t xml:space="preserve"> </w:t>
      </w:r>
      <w:r w:rsidRPr="00FB55AD">
        <w:rPr>
          <w:color w:val="000000"/>
        </w:rPr>
        <w:t>реагированию на стресс, усилению эффекта от расслабления, поддержке иммунной системы, физической активности и социальной поддержке. У участников измеряли уровень факторов риска и параметров ККА (объем</w:t>
      </w:r>
      <w:r>
        <w:rPr>
          <w:color w:val="000000"/>
        </w:rPr>
        <w:t xml:space="preserve"> </w:t>
      </w:r>
      <w:r w:rsidRPr="00FB55AD">
        <w:rPr>
          <w:color w:val="000000"/>
        </w:rPr>
        <w:t>и индекс Агатстона) по данным КТ-сканирования всего организма перед началом исследования и после 2 лет</w:t>
      </w:r>
      <w:r>
        <w:rPr>
          <w:color w:val="000000"/>
        </w:rPr>
        <w:t xml:space="preserve"> </w:t>
      </w:r>
      <w:r w:rsidRPr="00FB55AD">
        <w:rPr>
          <w:color w:val="000000"/>
        </w:rPr>
        <w:t>наблюдения, группа, участвующая в программе RENEW [TM], получала консультацию терапевта по результатам КТ-сканирования. Оценка эпикардиального жира и жировой ткани грудной клетки проводилась по результатам КТ. Мы изучили изменения между результатами повторного сканирования и базальными уровнями</w:t>
      </w:r>
      <w:r>
        <w:rPr>
          <w:color w:val="000000"/>
        </w:rPr>
        <w:t xml:space="preserve"> </w:t>
      </w:r>
      <w:r w:rsidRPr="00FB55AD">
        <w:rPr>
          <w:color w:val="000000"/>
        </w:rPr>
        <w:t>ККА, накоплением эпикардиального жира и жировой ткани грудной клетки между исследуемыми группами.</w:t>
      </w:r>
    </w:p>
    <w:p w:rsidR="00FB55AD" w:rsidRPr="00FB55AD" w:rsidRDefault="00FB55AD" w:rsidP="00FB55AD">
      <w:pPr>
        <w:rPr>
          <w:b/>
          <w:bCs/>
        </w:rPr>
      </w:pPr>
      <w:r w:rsidRPr="00FB55AD">
        <w:rPr>
          <w:b/>
          <w:bCs/>
        </w:rPr>
        <w:t>Результаты</w:t>
      </w:r>
    </w:p>
    <w:p w:rsidR="00FB55AD" w:rsidRPr="00FB55AD" w:rsidRDefault="00FB55AD" w:rsidP="00FB55AD">
      <w:pPr>
        <w:rPr>
          <w:color w:val="000000"/>
        </w:rPr>
      </w:pPr>
      <w:r w:rsidRPr="00FB55AD">
        <w:rPr>
          <w:color w:val="000000"/>
        </w:rPr>
        <w:t>Среди 73 субъектов (35 — контрольная группа, 38 — участники программы коррекции), закончивших программу по истечению 2 лет наблюдения, после корректирования в соответствии с базальным ККА, возрастом,</w:t>
      </w:r>
      <w:r>
        <w:rPr>
          <w:color w:val="000000"/>
        </w:rPr>
        <w:t xml:space="preserve"> </w:t>
      </w:r>
      <w:r w:rsidRPr="00FB55AD">
        <w:rPr>
          <w:color w:val="000000"/>
        </w:rPr>
        <w:t>полом и факторами риска наблюдалось увеличение (в натуральных логарифмических единицах) объема ККА</w:t>
      </w:r>
      <w:r>
        <w:rPr>
          <w:color w:val="000000"/>
        </w:rPr>
        <w:t xml:space="preserve"> </w:t>
      </w:r>
      <w:r w:rsidRPr="00FB55AD">
        <w:rPr>
          <w:color w:val="000000"/>
        </w:rPr>
        <w:t>(среднее значение 0,17, доверительный интервал (ДИ) [0,07–0,25] см3) и индекса ККА (0,24 ДИ [0,11–0,36]</w:t>
      </w:r>
      <w:r>
        <w:rPr>
          <w:color w:val="000000"/>
        </w:rPr>
        <w:t xml:space="preserve"> </w:t>
      </w:r>
      <w:r w:rsidRPr="00FB55AD">
        <w:rPr>
          <w:color w:val="000000"/>
        </w:rPr>
        <w:t>в контрольной группе, в то время как в группе участников программы коррекции эти значения снижались:</w:t>
      </w:r>
      <w:r>
        <w:rPr>
          <w:color w:val="000000"/>
        </w:rPr>
        <w:t xml:space="preserve"> </w:t>
      </w:r>
      <w:r w:rsidRPr="00FB55AD">
        <w:rPr>
          <w:color w:val="000000"/>
        </w:rPr>
        <w:t>-0,29 [-0,63–0,02] см</w:t>
      </w:r>
      <w:r w:rsidRPr="00FB55AD">
        <w:rPr>
          <w:color w:val="000000"/>
          <w:vertAlign w:val="superscript"/>
        </w:rPr>
        <w:t>3</w:t>
      </w:r>
      <w:r w:rsidRPr="00FB55AD">
        <w:rPr>
          <w:color w:val="000000"/>
        </w:rPr>
        <w:t xml:space="preserve"> для объема ККА (p=0,0071 по сравнению с контролем и -0,25 [-0,58–0,09] для индекса</w:t>
      </w:r>
      <w:r>
        <w:rPr>
          <w:color w:val="000000"/>
        </w:rPr>
        <w:t xml:space="preserve"> </w:t>
      </w:r>
      <w:r w:rsidRPr="00FB55AD">
        <w:rPr>
          <w:color w:val="000000"/>
        </w:rPr>
        <w:t>ККА (p=0,0031 по сравнению с контролем). В подгруппе из 42 человек, у которых проводили измерение эпикардиального жира и жировой ткани грудной клетки, изменения объема эпикардиального жира были следующими: 10, 6 см</w:t>
      </w:r>
      <w:r w:rsidRPr="00FB55AD">
        <w:rPr>
          <w:color w:val="000000"/>
          <w:vertAlign w:val="superscript"/>
        </w:rPr>
        <w:t>3</w:t>
      </w:r>
      <w:r w:rsidRPr="00FB55AD">
        <w:rPr>
          <w:color w:val="000000"/>
        </w:rPr>
        <w:t xml:space="preserve"> (ДИ [-4,5–25,2] см</w:t>
      </w:r>
      <w:r w:rsidRPr="00FB55AD">
        <w:rPr>
          <w:color w:val="000000"/>
          <w:vertAlign w:val="superscript"/>
        </w:rPr>
        <w:t>3</w:t>
      </w:r>
      <w:r w:rsidRPr="00FB55AD">
        <w:rPr>
          <w:color w:val="000000"/>
        </w:rPr>
        <w:t>) в контрольной группе и -6,9 см</w:t>
      </w:r>
      <w:r w:rsidRPr="00FB55AD">
        <w:rPr>
          <w:color w:val="000000"/>
          <w:vertAlign w:val="superscript"/>
        </w:rPr>
        <w:t>3</w:t>
      </w:r>
      <w:r w:rsidRPr="00FB55AD">
        <w:rPr>
          <w:color w:val="000000"/>
        </w:rPr>
        <w:t xml:space="preserve"> (ДИ [-19,2–5,3]) см</w:t>
      </w:r>
      <w:r w:rsidRPr="00FB55AD">
        <w:rPr>
          <w:color w:val="000000"/>
          <w:vertAlign w:val="superscript"/>
        </w:rPr>
        <w:t>3</w:t>
      </w:r>
      <w:r w:rsidRPr="00FB55AD">
        <w:rPr>
          <w:color w:val="000000"/>
        </w:rPr>
        <w:t xml:space="preserve"> в группе участников</w:t>
      </w:r>
      <w:r w:rsidR="005E2970">
        <w:rPr>
          <w:color w:val="000000"/>
        </w:rPr>
        <w:t xml:space="preserve"> </w:t>
      </w:r>
      <w:r w:rsidRPr="00FB55AD">
        <w:rPr>
          <w:color w:val="000000"/>
        </w:rPr>
        <w:t>программы коррекции поведения (p=0,081), в то время как объем жировой ткани грудной клетки менялся</w:t>
      </w:r>
      <w:r w:rsidR="005E2970">
        <w:rPr>
          <w:color w:val="000000"/>
        </w:rPr>
        <w:t xml:space="preserve"> </w:t>
      </w:r>
      <w:r w:rsidRPr="00FB55AD">
        <w:rPr>
          <w:color w:val="000000"/>
        </w:rPr>
        <w:t>следующим образом: 4,6 см</w:t>
      </w:r>
      <w:r w:rsidRPr="005E2970">
        <w:rPr>
          <w:color w:val="000000"/>
          <w:vertAlign w:val="superscript"/>
        </w:rPr>
        <w:t>3</w:t>
      </w:r>
      <w:r w:rsidRPr="00FB55AD">
        <w:rPr>
          <w:color w:val="000000"/>
        </w:rPr>
        <w:t xml:space="preserve"> [-20,2–28,6] см</w:t>
      </w:r>
      <w:r w:rsidRPr="005E2970">
        <w:rPr>
          <w:color w:val="000000"/>
          <w:vertAlign w:val="superscript"/>
        </w:rPr>
        <w:t xml:space="preserve">3 </w:t>
      </w:r>
      <w:r w:rsidRPr="00FB55AD">
        <w:rPr>
          <w:color w:val="000000"/>
        </w:rPr>
        <w:t>в группе контроля и -29,9 см</w:t>
      </w:r>
      <w:r w:rsidRPr="005E2970">
        <w:rPr>
          <w:color w:val="000000"/>
          <w:vertAlign w:val="superscript"/>
        </w:rPr>
        <w:t>3</w:t>
      </w:r>
      <w:r w:rsidRPr="00FB55AD">
        <w:rPr>
          <w:color w:val="000000"/>
        </w:rPr>
        <w:t xml:space="preserve"> [-49,5 to -9,3] см</w:t>
      </w:r>
      <w:r w:rsidRPr="005E2970">
        <w:rPr>
          <w:color w:val="000000"/>
          <w:vertAlign w:val="superscript"/>
        </w:rPr>
        <w:t>3</w:t>
      </w:r>
      <w:r w:rsidRPr="00FB55AD">
        <w:rPr>
          <w:color w:val="000000"/>
        </w:rPr>
        <w:t xml:space="preserve"> (p=0,044) в группе</w:t>
      </w:r>
      <w:r w:rsidR="005E2970">
        <w:rPr>
          <w:color w:val="000000"/>
        </w:rPr>
        <w:t xml:space="preserve"> </w:t>
      </w:r>
      <w:r w:rsidRPr="00FB55AD">
        <w:rPr>
          <w:color w:val="000000"/>
        </w:rPr>
        <w:t>участников программы коррекции поведения.</w:t>
      </w:r>
    </w:p>
    <w:p w:rsidR="00FB55AD" w:rsidRPr="005E2970" w:rsidRDefault="00FB55AD" w:rsidP="00FB55AD">
      <w:pPr>
        <w:rPr>
          <w:b/>
          <w:bCs/>
        </w:rPr>
      </w:pPr>
      <w:r w:rsidRPr="005E2970">
        <w:rPr>
          <w:b/>
          <w:bCs/>
        </w:rPr>
        <w:t>Выводы</w:t>
      </w:r>
    </w:p>
    <w:p w:rsidR="00FB55AD" w:rsidRPr="00FB55AD" w:rsidRDefault="00FB55AD" w:rsidP="00FB55AD">
      <w:pPr>
        <w:rPr>
          <w:color w:val="000000"/>
        </w:rPr>
      </w:pPr>
      <w:r w:rsidRPr="00FB55AD">
        <w:rPr>
          <w:color w:val="000000"/>
        </w:rPr>
        <w:t>Наши результаты предполагают потенциально благоприятное влияние многокомпонентной программы по</w:t>
      </w:r>
      <w:r w:rsidR="005E2970">
        <w:rPr>
          <w:color w:val="000000"/>
        </w:rPr>
        <w:t xml:space="preserve"> </w:t>
      </w:r>
      <w:r w:rsidRPr="00FB55AD">
        <w:rPr>
          <w:color w:val="000000"/>
        </w:rPr>
        <w:t>коррекции поведения в сочетании с консультацией по результатам КТ-сканирования всего тела на замедление прогрессии ККА и снижение объемов эпикардиального жира и жировой ткани грудной клетки. Для</w:t>
      </w:r>
      <w:r w:rsidR="005E2970">
        <w:rPr>
          <w:color w:val="000000"/>
        </w:rPr>
        <w:t xml:space="preserve"> </w:t>
      </w:r>
      <w:r w:rsidRPr="00FB55AD">
        <w:rPr>
          <w:color w:val="000000"/>
        </w:rPr>
        <w:t>подтверждения результатов и оценки их влияния на сердечно-сосудистые исходы требуется проведение исследований большего масштаба.</w:t>
      </w:r>
    </w:p>
    <w:p w:rsidR="00FB55AD" w:rsidRPr="005E2970" w:rsidRDefault="00FB55AD" w:rsidP="00FB55AD">
      <w:pPr>
        <w:rPr>
          <w:b/>
          <w:bCs/>
        </w:rPr>
      </w:pPr>
      <w:bookmarkStart w:id="0" w:name="_GoBack"/>
      <w:r w:rsidRPr="005E2970">
        <w:rPr>
          <w:b/>
          <w:bCs/>
        </w:rPr>
        <w:t>Ключевые слова</w:t>
      </w:r>
    </w:p>
    <w:bookmarkEnd w:id="0"/>
    <w:p w:rsidR="007F00BB" w:rsidRPr="005E2970" w:rsidRDefault="00FB55AD" w:rsidP="00FB55AD">
      <w:pPr>
        <w:rPr>
          <w:color w:val="000000"/>
        </w:rPr>
      </w:pPr>
      <w:r w:rsidRPr="00FB55AD">
        <w:rPr>
          <w:color w:val="000000"/>
        </w:rPr>
        <w:t>Поведения, кальциноз коронарных артерий, сердечно-сосудистые заболевания, жировая ткань, компьютерная томография.</w:t>
      </w:r>
    </w:p>
    <w:sectPr w:rsidR="007F00BB" w:rsidRPr="005E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B"/>
    <w:rsid w:val="005E2970"/>
    <w:rsid w:val="007F00BB"/>
    <w:rsid w:val="00C062D1"/>
    <w:rsid w:val="00F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240C9"/>
  <w15:chartTrackingRefBased/>
  <w15:docId w15:val="{C9947B04-F4C8-44DF-A348-B2F226B8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2020-02-18T05:04:00Z</dcterms:created>
  <dcterms:modified xsi:type="dcterms:W3CDTF">2020-02-18T05:04:00Z</dcterms:modified>
</cp:coreProperties>
</file>